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3" w:firstLineChars="200"/>
      </w:pPr>
      <w:bookmarkStart w:id="0" w:name="_GoBack"/>
      <w:r>
        <w:rPr>
          <w:rFonts w:hint="eastAsia"/>
        </w:rPr>
        <w:t>江西省妇女儿童发展基金会公益项目管理制度</w:t>
      </w:r>
    </w:p>
    <w:bookmarkEnd w:id="0"/>
    <w:p>
      <w:pPr>
        <w:ind w:firstLine="2240" w:firstLineChars="700"/>
        <w:rPr>
          <w:rFonts w:ascii="黑体" w:hAnsi="黑体" w:eastAsia="黑体"/>
          <w:sz w:val="32"/>
          <w:szCs w:val="32"/>
        </w:rPr>
      </w:pPr>
      <w:r>
        <w:rPr>
          <w:rFonts w:hint="eastAsia" w:ascii="黑体" w:hAnsi="黑体" w:eastAsia="黑体"/>
          <w:sz w:val="32"/>
          <w:szCs w:val="32"/>
        </w:rPr>
        <w:t>第一章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总则</w:t>
      </w:r>
    </w:p>
    <w:p>
      <w:pPr>
        <w:ind w:firstLine="640" w:firstLineChars="200"/>
        <w:rPr>
          <w:rFonts w:ascii="仿宋" w:hAnsi="仿宋" w:eastAsia="仿宋"/>
          <w:sz w:val="32"/>
          <w:szCs w:val="32"/>
        </w:rPr>
      </w:pPr>
      <w:r>
        <w:rPr>
          <w:rFonts w:hint="eastAsia" w:ascii="仿宋" w:hAnsi="仿宋" w:eastAsia="仿宋"/>
          <w:sz w:val="32"/>
          <w:szCs w:val="32"/>
        </w:rPr>
        <w:t>第一条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为规范江西省妇女儿童发展基金会慈善 项目的实施管理，确保项目运行的合法、规范、高效，实现项目的预期 目标，维护江西省妇女儿童发展基金会、捐赠人和受益人的合法权益，根据《中华人民共和国慈善法》、《基金会管理条例》、《江西省妇女儿童发展基金会章程》 等相关规定，特制定本制度。</w:t>
      </w:r>
    </w:p>
    <w:p>
      <w:pPr>
        <w:ind w:firstLine="640" w:firstLineChars="200"/>
        <w:rPr>
          <w:rFonts w:ascii="仿宋" w:hAnsi="仿宋" w:eastAsia="仿宋"/>
          <w:sz w:val="32"/>
          <w:szCs w:val="32"/>
        </w:rPr>
      </w:pPr>
      <w:r>
        <w:rPr>
          <w:rFonts w:hint="eastAsia" w:ascii="仿宋" w:hAnsi="仿宋" w:eastAsia="仿宋"/>
          <w:sz w:val="32"/>
          <w:szCs w:val="32"/>
        </w:rPr>
        <w:t>第二条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本制度适用于江西省妇女儿童发展基金会开展的慈善项目。</w:t>
      </w:r>
    </w:p>
    <w:p>
      <w:pPr>
        <w:ind w:firstLine="640" w:firstLineChars="200"/>
        <w:rPr>
          <w:rFonts w:ascii="仿宋" w:hAnsi="仿宋" w:eastAsia="仿宋"/>
          <w:sz w:val="32"/>
          <w:szCs w:val="32"/>
        </w:rPr>
      </w:pPr>
      <w:r>
        <w:rPr>
          <w:rFonts w:hint="eastAsia" w:ascii="仿宋" w:hAnsi="仿宋" w:eastAsia="仿宋"/>
          <w:sz w:val="32"/>
          <w:szCs w:val="32"/>
        </w:rPr>
        <w:t>第三条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本制度包括对项目立项、项目实施、项目财产、项目监督、项目评估及项目信息公开的管理。</w:t>
      </w:r>
    </w:p>
    <w:p>
      <w:pPr>
        <w:ind w:firstLine="1920" w:firstLineChars="600"/>
        <w:rPr>
          <w:rFonts w:ascii="黑体" w:hAnsi="黑体" w:eastAsia="黑体"/>
          <w:sz w:val="32"/>
          <w:szCs w:val="32"/>
        </w:rPr>
      </w:pPr>
      <w:r>
        <w:rPr>
          <w:rFonts w:hint="eastAsia" w:ascii="黑体" w:hAnsi="黑体" w:eastAsia="黑体"/>
          <w:sz w:val="32"/>
          <w:szCs w:val="32"/>
        </w:rPr>
        <w:t>第二章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项目立项管理</w:t>
      </w:r>
    </w:p>
    <w:p>
      <w:pPr>
        <w:ind w:firstLine="640" w:firstLineChars="200"/>
        <w:rPr>
          <w:rFonts w:ascii="仿宋" w:hAnsi="仿宋" w:eastAsia="仿宋"/>
          <w:sz w:val="32"/>
          <w:szCs w:val="32"/>
        </w:rPr>
      </w:pPr>
      <w:r>
        <w:rPr>
          <w:rFonts w:hint="eastAsia" w:ascii="仿宋" w:hAnsi="仿宋" w:eastAsia="仿宋"/>
          <w:sz w:val="32"/>
          <w:szCs w:val="32"/>
        </w:rPr>
        <w:t>第四条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根据江西省妇女儿童发展基金会的宗旨和业务范围以及《江西省妇女儿童发展基金会章程》，项目立项应遵循的基本原则是：</w:t>
      </w:r>
    </w:p>
    <w:p>
      <w:pPr>
        <w:ind w:firstLine="640" w:firstLineChars="200"/>
        <w:rPr>
          <w:rFonts w:ascii="仿宋" w:hAnsi="仿宋" w:eastAsia="仿宋"/>
          <w:sz w:val="32"/>
          <w:szCs w:val="32"/>
        </w:rPr>
      </w:pPr>
      <w:r>
        <w:rPr>
          <w:rFonts w:hint="eastAsia" w:ascii="仿宋" w:hAnsi="仿宋" w:eastAsia="仿宋"/>
          <w:sz w:val="32"/>
          <w:szCs w:val="32"/>
        </w:rPr>
        <w:t>(一)符合江西省妇女儿童发展基金会章程的有关规定；</w:t>
      </w:r>
    </w:p>
    <w:p>
      <w:pPr>
        <w:ind w:firstLine="640" w:firstLineChars="200"/>
        <w:rPr>
          <w:rFonts w:ascii="仿宋" w:hAnsi="仿宋" w:eastAsia="仿宋"/>
          <w:sz w:val="32"/>
          <w:szCs w:val="32"/>
        </w:rPr>
      </w:pPr>
      <w:r>
        <w:rPr>
          <w:rFonts w:hint="eastAsia" w:ascii="仿宋" w:hAnsi="仿宋" w:eastAsia="仿宋"/>
          <w:sz w:val="32"/>
          <w:szCs w:val="32"/>
        </w:rPr>
        <w:t>(二)充分尊重捐赠人意愿及妇女、儿童及家庭的实际需求；</w:t>
      </w:r>
    </w:p>
    <w:p>
      <w:pPr>
        <w:ind w:firstLine="640" w:firstLineChars="200"/>
        <w:rPr>
          <w:rFonts w:ascii="仿宋" w:hAnsi="仿宋" w:eastAsia="仿宋"/>
          <w:sz w:val="32"/>
          <w:szCs w:val="32"/>
        </w:rPr>
      </w:pPr>
      <w:r>
        <w:rPr>
          <w:rFonts w:hint="eastAsia" w:ascii="仿宋" w:hAnsi="仿宋" w:eastAsia="仿宋"/>
          <w:sz w:val="32"/>
          <w:szCs w:val="32"/>
        </w:rPr>
        <w:t>(三)充分考虑项目的公益性、可行性、实效性及持续性，坚持项 目实施效益最大化原则。</w:t>
      </w:r>
    </w:p>
    <w:p>
      <w:pPr>
        <w:ind w:firstLine="640" w:firstLineChars="200"/>
        <w:rPr>
          <w:rFonts w:ascii="仿宋" w:hAnsi="仿宋" w:eastAsia="仿宋"/>
          <w:sz w:val="32"/>
          <w:szCs w:val="32"/>
        </w:rPr>
      </w:pPr>
      <w:r>
        <w:rPr>
          <w:rFonts w:hint="eastAsia" w:ascii="仿宋" w:hAnsi="仿宋" w:eastAsia="仿宋"/>
          <w:sz w:val="32"/>
          <w:szCs w:val="32"/>
        </w:rPr>
        <w:t>第五条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项目立项需提交项目实施方案，内容包括： 项目背景、社会意义、前期调研、可行性分析(包括是否符合基金会宗旨)、 实施方案(目标、内容、进度及预算)、评估方法、效果预期等。</w:t>
      </w:r>
    </w:p>
    <w:p>
      <w:pPr>
        <w:rPr>
          <w:rFonts w:ascii="仿宋" w:hAnsi="仿宋" w:eastAsia="仿宋"/>
          <w:sz w:val="32"/>
          <w:szCs w:val="32"/>
        </w:rPr>
      </w:pPr>
      <w:r>
        <w:rPr>
          <w:rFonts w:ascii="Calibri" w:hAnsi="Calibri" w:eastAsia="仿宋" w:cs="Calibri"/>
          <w:sz w:val="32"/>
          <w:szCs w:val="32"/>
        </w:rPr>
        <w:t xml:space="preserve">    </w:t>
      </w:r>
      <w:r>
        <w:rPr>
          <w:rFonts w:hint="eastAsia" w:ascii="仿宋" w:hAnsi="仿宋" w:eastAsia="仿宋"/>
          <w:sz w:val="32"/>
          <w:szCs w:val="32"/>
        </w:rPr>
        <w:t>第六条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项目立项均需经过基金会秘书长办公会议讨论后作出决定。经批准的项目可进入实施阶段。</w:t>
      </w:r>
    </w:p>
    <w:p>
      <w:pPr>
        <w:ind w:firstLine="2240" w:firstLineChars="700"/>
        <w:rPr>
          <w:rFonts w:ascii="黑体" w:hAnsi="黑体" w:eastAsia="黑体"/>
          <w:sz w:val="32"/>
          <w:szCs w:val="32"/>
        </w:rPr>
      </w:pPr>
      <w:r>
        <w:rPr>
          <w:rFonts w:hint="eastAsia" w:ascii="黑体" w:hAnsi="黑体" w:eastAsia="黑体"/>
          <w:sz w:val="32"/>
          <w:szCs w:val="32"/>
        </w:rPr>
        <w:t>第三章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项目实施管理</w:t>
      </w:r>
    </w:p>
    <w:p>
      <w:pPr>
        <w:ind w:firstLine="640" w:firstLineChars="200"/>
        <w:rPr>
          <w:rFonts w:ascii="仿宋" w:hAnsi="仿宋" w:eastAsia="仿宋"/>
          <w:sz w:val="32"/>
          <w:szCs w:val="32"/>
        </w:rPr>
      </w:pPr>
      <w:r>
        <w:rPr>
          <w:rFonts w:hint="eastAsia" w:ascii="仿宋" w:hAnsi="仿宋" w:eastAsia="仿宋"/>
          <w:sz w:val="32"/>
          <w:szCs w:val="32"/>
        </w:rPr>
        <w:t>第七条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基金会对项目管理负责， 项目管理部门要分工明确， 实行项目负责人制度，对项目实施情况进行跟踪监督。</w:t>
      </w:r>
    </w:p>
    <w:p>
      <w:pPr>
        <w:ind w:firstLine="640" w:firstLineChars="200"/>
        <w:rPr>
          <w:rFonts w:ascii="仿宋" w:hAnsi="仿宋" w:eastAsia="仿宋"/>
          <w:sz w:val="32"/>
          <w:szCs w:val="32"/>
        </w:rPr>
      </w:pPr>
      <w:r>
        <w:rPr>
          <w:rFonts w:hint="eastAsia" w:ascii="仿宋" w:hAnsi="仿宋" w:eastAsia="仿宋"/>
          <w:sz w:val="32"/>
          <w:szCs w:val="32"/>
        </w:rPr>
        <w:t>第八条</w:t>
      </w:r>
      <w:r>
        <w:rPr>
          <w:rFonts w:ascii="Calibri" w:hAnsi="Calibri" w:eastAsia="仿宋" w:cs="Calibri"/>
          <w:sz w:val="32"/>
          <w:szCs w:val="32"/>
        </w:rPr>
        <w:t>   </w:t>
      </w:r>
      <w:r>
        <w:rPr>
          <w:rFonts w:hint="eastAsia" w:ascii="仿宋" w:hAnsi="仿宋" w:eastAsia="仿宋"/>
          <w:sz w:val="32"/>
          <w:szCs w:val="32"/>
        </w:rPr>
        <w:t>项目负责人主要职责是：负责项目协议和方案的签订执行， 负责与捐赠人沟通协调，组织项目的日常管理、定期汇报、督导、总结 验收以及信息公开等。</w:t>
      </w:r>
    </w:p>
    <w:p>
      <w:pPr>
        <w:ind w:firstLine="640" w:firstLineChars="200"/>
        <w:rPr>
          <w:rFonts w:ascii="仿宋" w:hAnsi="仿宋" w:eastAsia="仿宋"/>
          <w:sz w:val="32"/>
          <w:szCs w:val="32"/>
        </w:rPr>
      </w:pPr>
      <w:r>
        <w:rPr>
          <w:rFonts w:hint="eastAsia" w:ascii="仿宋" w:hAnsi="仿宋" w:eastAsia="仿宋"/>
          <w:sz w:val="32"/>
          <w:szCs w:val="32"/>
        </w:rPr>
        <w:t>第九条</w:t>
      </w:r>
      <w:r>
        <w:rPr>
          <w:rFonts w:ascii="Calibri" w:hAnsi="Calibri" w:eastAsia="仿宋" w:cs="Calibri"/>
          <w:sz w:val="32"/>
          <w:szCs w:val="32"/>
        </w:rPr>
        <w:t>   </w:t>
      </w:r>
      <w:r>
        <w:rPr>
          <w:rFonts w:hint="eastAsia" w:ascii="仿宋" w:hAnsi="仿宋" w:eastAsia="仿宋"/>
          <w:sz w:val="32"/>
          <w:szCs w:val="32"/>
        </w:rPr>
        <w:t>根据项目具体情况，需制定项目管理流程。项目负责人严格按照管理流程，组织项目的实施，保证项目顺利执行。</w:t>
      </w:r>
    </w:p>
    <w:p>
      <w:pPr>
        <w:ind w:firstLine="640" w:firstLineChars="200"/>
        <w:rPr>
          <w:rFonts w:ascii="仿宋" w:hAnsi="仿宋" w:eastAsia="仿宋"/>
          <w:sz w:val="32"/>
          <w:szCs w:val="32"/>
        </w:rPr>
      </w:pPr>
      <w:r>
        <w:rPr>
          <w:rFonts w:hint="eastAsia" w:ascii="仿宋" w:hAnsi="仿宋" w:eastAsia="仿宋"/>
          <w:sz w:val="32"/>
          <w:szCs w:val="32"/>
        </w:rPr>
        <w:t>第十条</w:t>
      </w:r>
      <w:r>
        <w:rPr>
          <w:rFonts w:ascii="Calibri" w:hAnsi="Calibri" w:eastAsia="仿宋" w:cs="Calibri"/>
          <w:sz w:val="32"/>
          <w:szCs w:val="32"/>
        </w:rPr>
        <w:t>   </w:t>
      </w:r>
      <w:r>
        <w:rPr>
          <w:rFonts w:hint="eastAsia" w:ascii="仿宋" w:hAnsi="仿宋" w:eastAsia="仿宋"/>
          <w:sz w:val="32"/>
          <w:szCs w:val="32"/>
        </w:rPr>
        <w:t>确定受益人，应当坚持公开、公平、公正的原则，不得指定利害关系人作为受益人。</w:t>
      </w:r>
    </w:p>
    <w:p>
      <w:pPr>
        <w:ind w:firstLine="640" w:firstLineChars="200"/>
        <w:rPr>
          <w:rFonts w:ascii="仿宋" w:hAnsi="仿宋" w:eastAsia="仿宋"/>
          <w:sz w:val="32"/>
          <w:szCs w:val="32"/>
        </w:rPr>
      </w:pPr>
      <w:r>
        <w:rPr>
          <w:rFonts w:hint="eastAsia" w:ascii="仿宋" w:hAnsi="仿宋" w:eastAsia="仿宋"/>
          <w:sz w:val="32"/>
          <w:szCs w:val="32"/>
        </w:rPr>
        <w:t>第十一条</w:t>
      </w:r>
      <w:r>
        <w:rPr>
          <w:rFonts w:ascii="Calibri" w:hAnsi="Calibri" w:eastAsia="仿宋" w:cs="Calibri"/>
          <w:sz w:val="32"/>
          <w:szCs w:val="32"/>
        </w:rPr>
        <w:t>   </w:t>
      </w:r>
      <w:r>
        <w:rPr>
          <w:rFonts w:hint="eastAsia" w:ascii="仿宋" w:hAnsi="仿宋" w:eastAsia="仿宋"/>
          <w:sz w:val="32"/>
          <w:szCs w:val="32"/>
        </w:rPr>
        <w:t>开展项目，应当尊重受益人、志愿者的人格尊严，不得侵害受益人、志愿者的隐私。</w:t>
      </w:r>
    </w:p>
    <w:p>
      <w:pPr>
        <w:ind w:firstLine="640" w:firstLineChars="200"/>
        <w:rPr>
          <w:rFonts w:ascii="仿宋" w:hAnsi="仿宋" w:eastAsia="仿宋"/>
          <w:sz w:val="32"/>
          <w:szCs w:val="32"/>
        </w:rPr>
      </w:pPr>
      <w:r>
        <w:rPr>
          <w:rFonts w:hint="eastAsia" w:ascii="仿宋" w:hAnsi="仿宋" w:eastAsia="仿宋"/>
          <w:sz w:val="32"/>
          <w:szCs w:val="32"/>
        </w:rPr>
        <w:t>第十二条</w:t>
      </w:r>
      <w:r>
        <w:rPr>
          <w:rFonts w:ascii="Calibri" w:hAnsi="Calibri" w:eastAsia="仿宋" w:cs="Calibri"/>
          <w:sz w:val="32"/>
          <w:szCs w:val="32"/>
        </w:rPr>
        <w:t> </w:t>
      </w:r>
      <w:r>
        <w:rPr>
          <w:rFonts w:hint="eastAsia" w:ascii="仿宋" w:hAnsi="仿宋" w:eastAsia="仿宋"/>
          <w:sz w:val="32"/>
          <w:szCs w:val="32"/>
        </w:rPr>
        <w:t xml:space="preserve"> 项目负责人编写项目实施报告，及时向基金会秘书处 汇报项目实施情况，将相关信息反馈给捐赠人，确保反馈的及时性和准确性。</w:t>
      </w:r>
    </w:p>
    <w:p>
      <w:pPr>
        <w:ind w:firstLine="640" w:firstLineChars="200"/>
        <w:rPr>
          <w:rFonts w:ascii="仿宋" w:hAnsi="仿宋" w:eastAsia="仿宋"/>
          <w:sz w:val="32"/>
          <w:szCs w:val="32"/>
        </w:rPr>
      </w:pPr>
      <w:r>
        <w:rPr>
          <w:rFonts w:hint="eastAsia" w:ascii="仿宋" w:hAnsi="仿宋" w:eastAsia="仿宋"/>
          <w:sz w:val="32"/>
          <w:szCs w:val="32"/>
        </w:rPr>
        <w:t>第十三条</w:t>
      </w:r>
      <w:r>
        <w:rPr>
          <w:rFonts w:ascii="Calibri" w:hAnsi="Calibri" w:eastAsia="仿宋" w:cs="Calibri"/>
          <w:sz w:val="32"/>
          <w:szCs w:val="32"/>
        </w:rPr>
        <w:t> </w:t>
      </w:r>
      <w:r>
        <w:rPr>
          <w:rFonts w:hint="eastAsia" w:ascii="仿宋" w:hAnsi="仿宋" w:eastAsia="仿宋"/>
          <w:sz w:val="32"/>
          <w:szCs w:val="32"/>
        </w:rPr>
        <w:t xml:space="preserve"> 项目负责人负责整理收集项目实施相关文件、图片、协议等材料并存档。</w:t>
      </w:r>
    </w:p>
    <w:p>
      <w:pPr>
        <w:ind w:firstLine="1920" w:firstLineChars="600"/>
        <w:rPr>
          <w:rFonts w:ascii="黑体" w:hAnsi="黑体" w:eastAsia="黑体"/>
          <w:sz w:val="32"/>
          <w:szCs w:val="32"/>
        </w:rPr>
      </w:pPr>
      <w:r>
        <w:rPr>
          <w:rFonts w:hint="eastAsia" w:ascii="黑体" w:hAnsi="黑体" w:eastAsia="黑体"/>
          <w:sz w:val="32"/>
          <w:szCs w:val="32"/>
        </w:rPr>
        <w:t>第四章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项目财产管理</w:t>
      </w:r>
    </w:p>
    <w:p>
      <w:pPr>
        <w:ind w:firstLine="640" w:firstLineChars="200"/>
        <w:rPr>
          <w:rFonts w:ascii="仿宋" w:hAnsi="仿宋" w:eastAsia="仿宋"/>
          <w:sz w:val="32"/>
          <w:szCs w:val="32"/>
        </w:rPr>
      </w:pPr>
      <w:r>
        <w:rPr>
          <w:rFonts w:hint="eastAsia" w:ascii="仿宋" w:hAnsi="仿宋" w:eastAsia="仿宋"/>
          <w:sz w:val="32"/>
          <w:szCs w:val="32"/>
        </w:rPr>
        <w:t>第十四条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对捐赠的财产，应当登记造册，严格管理，专款专用。</w:t>
      </w:r>
    </w:p>
    <w:p>
      <w:pPr>
        <w:ind w:firstLine="640" w:firstLineChars="200"/>
        <w:rPr>
          <w:rFonts w:ascii="仿宋" w:hAnsi="仿宋" w:eastAsia="仿宋"/>
          <w:sz w:val="32"/>
          <w:szCs w:val="32"/>
        </w:rPr>
      </w:pPr>
      <w:r>
        <w:rPr>
          <w:rFonts w:hint="eastAsia" w:ascii="仿宋" w:hAnsi="仿宋" w:eastAsia="仿宋"/>
          <w:sz w:val="32"/>
          <w:szCs w:val="32"/>
        </w:rPr>
        <w:t>第十五条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应当按照捐赠协议使用捐赠财产，确需变更捐赠财产用 途的，应当征得捐赠人同意。</w:t>
      </w:r>
    </w:p>
    <w:p>
      <w:pPr>
        <w:ind w:firstLine="640" w:firstLineChars="200"/>
        <w:rPr>
          <w:rFonts w:ascii="仿宋" w:hAnsi="仿宋" w:eastAsia="仿宋"/>
          <w:sz w:val="32"/>
          <w:szCs w:val="32"/>
        </w:rPr>
      </w:pPr>
      <w:r>
        <w:rPr>
          <w:rFonts w:hint="eastAsia" w:ascii="仿宋" w:hAnsi="仿宋" w:eastAsia="仿宋"/>
          <w:sz w:val="32"/>
          <w:szCs w:val="32"/>
        </w:rPr>
        <w:t>第十六条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项目负责人拨付项目资金时，应根据捐赠协议、经费预 算、项目进度、检查与验收结果，提交项目请款报告，附项目阶段性或项目完结报告，经项目管理部门负责人、财务人员、秘书长审核批准后 方可拨款。项目执行单位及时向基金会提供合法有效的发票。</w:t>
      </w:r>
    </w:p>
    <w:p>
      <w:pPr>
        <w:ind w:firstLine="640" w:firstLineChars="200"/>
        <w:rPr>
          <w:rFonts w:ascii="仿宋" w:hAnsi="仿宋" w:eastAsia="仿宋"/>
          <w:sz w:val="32"/>
          <w:szCs w:val="32"/>
        </w:rPr>
      </w:pPr>
      <w:r>
        <w:rPr>
          <w:rFonts w:hint="eastAsia" w:ascii="仿宋" w:hAnsi="仿宋" w:eastAsia="仿宋"/>
          <w:sz w:val="32"/>
          <w:szCs w:val="32"/>
        </w:rPr>
        <w:t>第十七条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捐赠人查询、提供其捐赠财产使用的有关资料时，应及 时向捐赠人反馈有关情况。</w:t>
      </w:r>
    </w:p>
    <w:p>
      <w:pPr>
        <w:ind w:firstLine="640" w:firstLineChars="200"/>
        <w:rPr>
          <w:rFonts w:ascii="仿宋" w:hAnsi="仿宋" w:eastAsia="仿宋"/>
          <w:sz w:val="32"/>
          <w:szCs w:val="32"/>
        </w:rPr>
      </w:pPr>
      <w:r>
        <w:rPr>
          <w:rFonts w:hint="eastAsia" w:ascii="仿宋" w:hAnsi="仿宋" w:eastAsia="仿宋"/>
          <w:sz w:val="32"/>
          <w:szCs w:val="32"/>
        </w:rPr>
        <w:t>第十八条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项目终止后捐赠财产有剩余的，按照捐赠协议处理；捐 赠协议未约定的，应当将剩余财产用于目的相同或者相近的其他慈善项 目，并向社会公开。</w:t>
      </w:r>
    </w:p>
    <w:p>
      <w:pPr>
        <w:ind w:firstLine="640" w:firstLineChars="200"/>
        <w:rPr>
          <w:rFonts w:ascii="仿宋" w:hAnsi="仿宋" w:eastAsia="仿宋"/>
          <w:sz w:val="32"/>
          <w:szCs w:val="32"/>
        </w:rPr>
      </w:pPr>
      <w:r>
        <w:rPr>
          <w:rFonts w:hint="eastAsia" w:ascii="仿宋" w:hAnsi="仿宋" w:eastAsia="仿宋"/>
          <w:sz w:val="32"/>
          <w:szCs w:val="32"/>
        </w:rPr>
        <w:t>第十九条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开展慈善活动的年度支出，不得低于上一年总收入的百分之七十或者前三年收入平均数额的百分之七十；年度管理费用不得超 过当年总支出的百分之十。捐赠协议对单项捐赠财产的慈善活动支出和管理费用有约定的，按照其约定执行。</w:t>
      </w:r>
    </w:p>
    <w:p>
      <w:pPr>
        <w:ind w:firstLine="640" w:firstLineChars="200"/>
        <w:rPr>
          <w:rFonts w:ascii="仿宋" w:hAnsi="仿宋" w:eastAsia="仿宋"/>
          <w:sz w:val="32"/>
          <w:szCs w:val="32"/>
        </w:rPr>
      </w:pPr>
      <w:r>
        <w:rPr>
          <w:rFonts w:hint="eastAsia" w:ascii="仿宋" w:hAnsi="仿宋" w:eastAsia="仿宋"/>
          <w:sz w:val="32"/>
          <w:szCs w:val="32"/>
        </w:rPr>
        <w:t>第二十条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项目财产的管理和使用应接受审计部门、业务主管 部门、登记机关和基金会监事会的检查与监督。</w:t>
      </w:r>
    </w:p>
    <w:p>
      <w:pPr>
        <w:ind w:firstLine="1920" w:firstLineChars="600"/>
        <w:rPr>
          <w:rFonts w:ascii="黑体" w:hAnsi="黑体" w:eastAsia="黑体"/>
          <w:sz w:val="32"/>
          <w:szCs w:val="32"/>
        </w:rPr>
      </w:pPr>
      <w:r>
        <w:rPr>
          <w:rFonts w:hint="eastAsia" w:ascii="黑体" w:hAnsi="黑体" w:eastAsia="黑体"/>
          <w:sz w:val="32"/>
          <w:szCs w:val="32"/>
        </w:rPr>
        <w:t>第五章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项目监督管理</w:t>
      </w:r>
    </w:p>
    <w:p>
      <w:pPr>
        <w:ind w:firstLine="640" w:firstLineChars="200"/>
        <w:rPr>
          <w:rFonts w:ascii="仿宋" w:hAnsi="仿宋" w:eastAsia="仿宋"/>
          <w:sz w:val="32"/>
          <w:szCs w:val="32"/>
        </w:rPr>
      </w:pPr>
      <w:r>
        <w:rPr>
          <w:rFonts w:hint="eastAsia" w:ascii="仿宋" w:hAnsi="仿宋" w:eastAsia="仿宋"/>
          <w:sz w:val="32"/>
          <w:szCs w:val="32"/>
        </w:rPr>
        <w:t>第二十一条</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项目实行业务和财务双重监督，通过项目预决算管理，加强项目执行过程控制，项目款项的拨付按照批准后的预算经费、项目 执行协议，制定拨款计划及拨款比例，并按项目进展情况及提供的支撑 资料分期分批拨付，保证资助款项落实到位。</w:t>
      </w:r>
    </w:p>
    <w:p>
      <w:pPr>
        <w:ind w:firstLine="1600" w:firstLineChars="500"/>
        <w:rPr>
          <w:rFonts w:ascii="黑体" w:hAnsi="黑体" w:eastAsia="黑体"/>
          <w:sz w:val="32"/>
          <w:szCs w:val="32"/>
        </w:rPr>
      </w:pPr>
      <w:r>
        <w:rPr>
          <w:rFonts w:hint="eastAsia" w:ascii="黑体" w:hAnsi="黑体" w:eastAsia="黑体"/>
          <w:sz w:val="32"/>
          <w:szCs w:val="32"/>
        </w:rPr>
        <w:t>第六章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项目总结与评估</w:t>
      </w:r>
    </w:p>
    <w:p>
      <w:pPr>
        <w:ind w:firstLine="640" w:firstLineChars="200"/>
        <w:rPr>
          <w:rFonts w:ascii="仿宋" w:hAnsi="仿宋" w:eastAsia="仿宋"/>
          <w:sz w:val="32"/>
          <w:szCs w:val="32"/>
        </w:rPr>
      </w:pPr>
      <w:r>
        <w:rPr>
          <w:rFonts w:hint="eastAsia" w:ascii="仿宋" w:hAnsi="仿宋" w:eastAsia="仿宋"/>
          <w:sz w:val="32"/>
          <w:szCs w:val="32"/>
        </w:rPr>
        <w:t>第二十二条</w:t>
      </w:r>
      <w:r>
        <w:rPr>
          <w:rFonts w:ascii="Calibri" w:hAnsi="Calibri" w:eastAsia="仿宋" w:cs="Calibri"/>
          <w:sz w:val="32"/>
          <w:szCs w:val="32"/>
        </w:rPr>
        <w:t> </w:t>
      </w:r>
      <w:r>
        <w:rPr>
          <w:rFonts w:hint="eastAsia" w:ascii="仿宋" w:hAnsi="仿宋" w:eastAsia="仿宋"/>
          <w:sz w:val="32"/>
          <w:szCs w:val="32"/>
        </w:rPr>
        <w:t xml:space="preserve"> 根据项目实际情况，邀请相关专家或第三方专业机构对项目进行评估。在项目进行终结检查评估后，根据项目总结与评价意见，形成项目评估报告 , 总结项目优缺点，评价项目效果，指导后续项目的开展。</w:t>
      </w:r>
    </w:p>
    <w:p>
      <w:pPr>
        <w:ind w:firstLine="640" w:firstLineChars="200"/>
        <w:rPr>
          <w:rFonts w:ascii="仿宋" w:hAnsi="仿宋" w:eastAsia="仿宋"/>
          <w:sz w:val="32"/>
          <w:szCs w:val="32"/>
        </w:rPr>
      </w:pPr>
      <w:r>
        <w:rPr>
          <w:rFonts w:hint="eastAsia" w:ascii="仿宋" w:hAnsi="仿宋" w:eastAsia="仿宋"/>
          <w:sz w:val="32"/>
          <w:szCs w:val="32"/>
        </w:rPr>
        <w:t>第二十三条</w:t>
      </w:r>
      <w:r>
        <w:rPr>
          <w:rFonts w:ascii="Calibri" w:hAnsi="Calibri" w:eastAsia="仿宋" w:cs="Calibri"/>
          <w:sz w:val="32"/>
          <w:szCs w:val="32"/>
        </w:rPr>
        <w:t> </w:t>
      </w:r>
      <w:r>
        <w:rPr>
          <w:rFonts w:hint="eastAsia" w:ascii="仿宋" w:hAnsi="仿宋" w:eastAsia="仿宋"/>
          <w:sz w:val="32"/>
          <w:szCs w:val="32"/>
        </w:rPr>
        <w:t xml:space="preserve"> 评估报告报秘书长批准后，及时反馈给捐赠人，并向社会公布评估结果。</w:t>
      </w:r>
    </w:p>
    <w:p>
      <w:pPr>
        <w:ind w:firstLine="1280" w:firstLineChars="400"/>
        <w:rPr>
          <w:rFonts w:ascii="黑体" w:hAnsi="黑体" w:eastAsia="黑体"/>
          <w:sz w:val="32"/>
          <w:szCs w:val="32"/>
        </w:rPr>
      </w:pPr>
      <w:r>
        <w:rPr>
          <w:rFonts w:hint="eastAsia" w:ascii="黑体" w:hAnsi="黑体" w:eastAsia="黑体"/>
          <w:sz w:val="32"/>
          <w:szCs w:val="32"/>
        </w:rPr>
        <w:t>第七章</w:t>
      </w:r>
      <w:r>
        <w:rPr>
          <w:rFonts w:ascii="Calibri" w:hAnsi="Calibri" w:eastAsia="黑体" w:cs="Calibri"/>
          <w:sz w:val="32"/>
          <w:szCs w:val="32"/>
        </w:rPr>
        <w:t> </w:t>
      </w:r>
      <w:r>
        <w:rPr>
          <w:rFonts w:hint="eastAsia" w:ascii="黑体" w:hAnsi="黑体" w:eastAsia="黑体"/>
          <w:sz w:val="32"/>
          <w:szCs w:val="32"/>
        </w:rPr>
        <w:t xml:space="preserve"> </w:t>
      </w:r>
      <w:r>
        <w:rPr>
          <w:rFonts w:ascii="Calibri" w:hAnsi="Calibri" w:eastAsia="黑体" w:cs="Calibri"/>
          <w:sz w:val="32"/>
          <w:szCs w:val="32"/>
        </w:rPr>
        <w:t> </w:t>
      </w:r>
      <w:r>
        <w:rPr>
          <w:rFonts w:hint="eastAsia" w:ascii="黑体" w:hAnsi="黑体" w:eastAsia="黑体"/>
          <w:sz w:val="32"/>
          <w:szCs w:val="32"/>
        </w:rPr>
        <w:t>项目信息管理</w:t>
      </w:r>
    </w:p>
    <w:p>
      <w:pPr>
        <w:ind w:firstLine="640" w:firstLineChars="200"/>
        <w:rPr>
          <w:rFonts w:ascii="仿宋" w:hAnsi="仿宋" w:eastAsia="仿宋"/>
          <w:sz w:val="32"/>
          <w:szCs w:val="32"/>
        </w:rPr>
      </w:pPr>
      <w:r>
        <w:rPr>
          <w:rFonts w:hint="eastAsia" w:ascii="仿宋" w:hAnsi="仿宋" w:eastAsia="仿宋"/>
          <w:sz w:val="32"/>
          <w:szCs w:val="32"/>
        </w:rPr>
        <w:t>第二十四条</w:t>
      </w:r>
      <w:r>
        <w:rPr>
          <w:rFonts w:ascii="Calibri" w:hAnsi="Calibri" w:eastAsia="仿宋" w:cs="Calibri"/>
          <w:sz w:val="32"/>
          <w:szCs w:val="32"/>
        </w:rPr>
        <w:t> </w:t>
      </w:r>
      <w:r>
        <w:rPr>
          <w:rFonts w:hint="eastAsia" w:ascii="仿宋" w:hAnsi="仿宋" w:eastAsia="仿宋"/>
          <w:sz w:val="32"/>
          <w:szCs w:val="32"/>
        </w:rPr>
        <w:t xml:space="preserve"> 对项目执行过程中的各种数据与信息实行信息化管理。</w:t>
      </w:r>
    </w:p>
    <w:p>
      <w:pPr>
        <w:ind w:firstLine="640" w:firstLineChars="200"/>
        <w:rPr>
          <w:rFonts w:ascii="仿宋" w:hAnsi="仿宋" w:eastAsia="仿宋"/>
          <w:sz w:val="32"/>
          <w:szCs w:val="32"/>
        </w:rPr>
      </w:pPr>
      <w:r>
        <w:rPr>
          <w:rFonts w:hint="eastAsia" w:ascii="仿宋" w:hAnsi="仿宋" w:eastAsia="仿宋"/>
          <w:sz w:val="32"/>
          <w:szCs w:val="32"/>
        </w:rPr>
        <w:t>第二十五条</w:t>
      </w:r>
      <w:r>
        <w:rPr>
          <w:rFonts w:ascii="Calibri" w:hAnsi="Calibri" w:eastAsia="仿宋" w:cs="Calibri"/>
          <w:sz w:val="32"/>
          <w:szCs w:val="32"/>
        </w:rPr>
        <w:t> </w:t>
      </w:r>
      <w:r>
        <w:rPr>
          <w:rFonts w:hint="eastAsia" w:ascii="仿宋" w:hAnsi="仿宋" w:eastAsia="仿宋"/>
          <w:sz w:val="32"/>
          <w:szCs w:val="32"/>
        </w:rPr>
        <w:t xml:space="preserve"> 项目管理部门要严格遵守《江西省妇女儿童发展基金会信息披露制度》，利用基金会官方网站或其他媒体定期向社会公开慈善项目实施情况，信息公开应当真实、完整、及时。</w:t>
      </w: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pPr>
        <w:widowControl/>
        <w:spacing w:after="240"/>
        <w:ind w:right="147"/>
        <w:jc w:val="left"/>
        <w:rPr>
          <w:rStyle w:val="6"/>
          <w:rFonts w:ascii="仿宋" w:hAnsi="仿宋" w:eastAsia="仿宋"/>
          <w:b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E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2025-06-30T08:56:31Z</dcterms:created>
  <dc:creator>123</dc:creator>
  <cp:lastModifiedBy>123</cp:lastModifiedBy>
  <dcterms:modified xsi:type="dcterms:W3CDTF">2025-06-30T08:56:45Z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